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sz w:val="30"/>
          <w:szCs w:val="30"/>
        </w:rPr>
      </w:pPr>
      <w:bookmarkStart w:id="0" w:name="_Toc26394"/>
      <w:r>
        <w:rPr>
          <w:rFonts w:hint="eastAsia" w:ascii="宋体" w:hAnsi="宋体" w:eastAsia="宋体" w:cs="宋体"/>
          <w:sz w:val="30"/>
          <w:szCs w:val="30"/>
        </w:rPr>
        <w:t>采购需求</w:t>
      </w:r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2"/>
        <w:outlineLvl w:val="1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1" w:name="_Toc3115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概况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名称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洛阳市中医院（伊滨院区、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南院、北院、涧西院区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）污水处理站整体运维服务项目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2"/>
        <w:outlineLvl w:val="9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bookmarkStart w:id="2" w:name="_Toc1331"/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2.采购需求：（包括但不限于标的的名称、数量、技术需求或服务要求等）</w:t>
      </w:r>
      <w:bookmarkEnd w:id="2"/>
    </w:p>
    <w:p>
      <w:pPr>
        <w:pStyle w:val="7"/>
        <w:ind w:firstLine="562" w:firstLineChars="200"/>
        <w:rPr>
          <w:rFonts w:hint="default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伊滨院区：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设计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处</w:t>
      </w: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理水量为</w:t>
      </w:r>
      <w:r>
        <w:rPr>
          <w:rFonts w:hint="eastAsia" w:ascii="宋体" w:hAnsi="宋体" w:cs="宋体"/>
          <w:b w:val="0"/>
          <w:kern w:val="2"/>
          <w:sz w:val="28"/>
          <w:szCs w:val="28"/>
          <w:lang w:val="en-US" w:eastAsia="zh-CN" w:bidi="ar-SA"/>
        </w:rPr>
        <w:t>20</w:t>
      </w: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00m³/d，报价包含但不限于以下内容：污水运维人员费用，在线监测（BOD、COD、氨氮、余氯、流量、PH等）环保专线费、在线监测运维费，污泥压滤处置费用，污水处理站维修费用（1000元以下由运行单位负责），日常化验费、劳保费、管理费等</w:t>
      </w:r>
      <w:r>
        <w:rPr>
          <w:rFonts w:hint="eastAsia" w:ascii="宋体" w:hAnsi="宋体" w:cs="宋体"/>
          <w:b w:val="0"/>
          <w:kern w:val="2"/>
          <w:sz w:val="28"/>
          <w:szCs w:val="28"/>
          <w:lang w:val="en-US" w:eastAsia="zh-CN" w:bidi="ar-SA"/>
        </w:rPr>
        <w:t>，包含放射废水运维。</w:t>
      </w:r>
    </w:p>
    <w:p>
      <w:pPr>
        <w:pStyle w:val="7"/>
        <w:ind w:firstLine="562" w:firstLineChars="20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南院：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设计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处</w:t>
      </w: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理水量为</w:t>
      </w:r>
      <w:r>
        <w:rPr>
          <w:rFonts w:hint="eastAsia" w:ascii="宋体" w:hAnsi="宋体" w:cs="宋体"/>
          <w:b w:val="0"/>
          <w:kern w:val="2"/>
          <w:sz w:val="28"/>
          <w:szCs w:val="28"/>
          <w:lang w:val="en-US" w:eastAsia="zh-CN" w:bidi="ar-SA"/>
        </w:rPr>
        <w:t>1000m³/d，</w:t>
      </w: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报价包含但不限于以下内容：污水运维人员费用，在线监测（流量）环保专线费、在线监测运维费，污泥压滤处置费用，污水处理站维修费用（1000元以下由运行单位负责），日常化验费、劳保费、管理费等。</w:t>
      </w:r>
    </w:p>
    <w:p>
      <w:pPr>
        <w:pStyle w:val="7"/>
        <w:ind w:firstLine="562" w:firstLineChars="20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北院：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设计</w:t>
      </w:r>
      <w:r>
        <w:rPr>
          <w:rFonts w:hint="eastAsia" w:ascii="宋体" w:hAnsi="宋体" w:cs="宋体"/>
          <w:b w:val="0"/>
          <w:kern w:val="2"/>
          <w:sz w:val="28"/>
          <w:szCs w:val="28"/>
          <w:lang w:val="en-US" w:eastAsia="zh-CN" w:bidi="ar-SA"/>
        </w:rPr>
        <w:t>处理水量约500m³/d，</w:t>
      </w: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报价包含但不限于以下内容：污水运维人员费用，在线监测（流量</w:t>
      </w:r>
      <w:r>
        <w:rPr>
          <w:rFonts w:hint="eastAsia" w:ascii="宋体" w:hAnsi="宋体" w:cs="宋体"/>
          <w:b w:val="0"/>
          <w:kern w:val="2"/>
          <w:sz w:val="28"/>
          <w:szCs w:val="28"/>
          <w:lang w:val="en-US" w:eastAsia="zh-CN" w:bidi="ar-SA"/>
        </w:rPr>
        <w:t>、余氯</w:t>
      </w: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）环保专线费、在线监测运维费，污泥压滤处置费用，污水处理站维修费用（1000元以下由运行单位负责），日常化验费、劳保费、管理费等。</w:t>
      </w:r>
    </w:p>
    <w:p>
      <w:pPr>
        <w:pStyle w:val="7"/>
        <w:ind w:firstLine="562" w:firstLineChars="20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涧西院区：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设计</w:t>
      </w:r>
      <w:r>
        <w:rPr>
          <w:rFonts w:hint="eastAsia" w:ascii="宋体" w:hAnsi="宋体" w:cs="宋体"/>
          <w:b w:val="0"/>
          <w:kern w:val="2"/>
          <w:sz w:val="28"/>
          <w:szCs w:val="28"/>
          <w:lang w:val="en-US" w:eastAsia="zh-CN" w:bidi="ar-SA"/>
        </w:rPr>
        <w:t>处理水量约500m³/d，</w:t>
      </w: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报价包含但不限于以下内容：污水运维人员费用，在线监测（流量、余氯）环保专线费、在线监测运维费，污泥压滤处置费用，污水处理站维修费用（1000元以下由运行单位负责），日常化验费、劳保费、管理费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firstLine="560" w:firstLineChars="200"/>
        <w:outlineLvl w:val="9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排放水质及废气、污泥等需达到《医疗机构水污染物排放标准》（GB18466-2005）和《医疗机构水污染物排放标准》（DB412555-2023）等相关标准要求。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2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3" w:name="_Toc10635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二、服务内容（包括但不限于）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1.污水处理站设施、设备运行、操作及管理；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2.污水处理站日常运行工艺指标把控，水质化验；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3.污水处理站运行设备的日常维护、保养、检修以及1000元以下易损件的免费更换（包含日常保养机油、皮带、齿轮油等耗材），超过1000元报请医院，由医院负责采购；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4.污水处理站格栅垃圾清扫、污泥压滤处置；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5.污水处理站在线监测设备运维；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6.污水处理站运行台账，维修台账，化学品使用台账及检测报告等资料填写、归档及规范化管理工作；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7.污水处理站运维管理人员技术培训、考核、安全及职业卫生防护管理及健康保护；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8.污水处理站运行应急处理，编写应急预案，定期组织应急演练；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default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9.临时性环保报告的编制及排污许可信息、污染源监测信息、企业环境信用评价、企业环境信息依法披露等的填报；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10.接受并协助医院、生态环境部门、疾控中心等部门的管理、监督、检查，承担污水处理废水、废气和污泥等未达到排放或处置引起的违法违规责任及处罚费用；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11.设施场所及设备间蚊虫等消杀和卫生工作；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12.污水处理站相关的其他工作。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2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4" w:name="_Toc15194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三、技术要求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1.污水处理设备维修保养要求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1.1严格按照设计要求或说明书要求，进行设备的保养、维修，制定设备保养、维修档案，规范污水站设施、设备运行；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1.2定期对格栅机、污泥池进行清理，对护栏、爬梯、管道、支架和盖板等定期进行检查、维护；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1.3定期检查污水站内电气元件及线路，防止发生缺项、短路等故障，故障电气元件应及时维修、更换；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1.4定期对加药剂量泵进行检查，保持加药泵正常运行；加药管道、阀门及时检查，清理内部堵塞物，保持管路顺畅；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1.5定期对污水站运行设备进行保养、检修，负责1000元以下易损件的免费更换（包含日常保养机油、皮带、齿轮油等耗材），超过1000元报请医院，由医院负责采购；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1.6污水处理站的运行日志、检测记录、设备维护保养记录、维修记录、培训记录、应急演练、污水排放记录表等需详实纪录并妥善保存，定期移交给院方；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2.污水处理站运维人员要求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2.1污水处理设备维护人员须持证上岗，其他技术人员应为具有相关专业工作经验的熟练技术工人，年龄均不超过60周岁，如有人员调整，须提前一个月书面告知，人员资质不变；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2.2值班人员须确保24小时在岗，配备一名项目经理（环境工程或给排水中级职称）、一名维修工程师（低压电工作业证），六名操作工人（污水运行操作工证）。认真记录污水处理设备每日运行情况，需对每位运行人员进行污水系统自动化控制及手动控制培训，并安排专人对自控系统进行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2.3派驻现场的维保人员需遵守院方的规章制度，服从院方的指挥和管理；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2.4维保人员在实施维保过程中，因操作不当导致事故或设备受损的，由维保单位负全部责任（如有争议，聘请第三方进行评估裁定）。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3.智慧化运行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为满足我院智慧化后勤总体需求，供应商需无偿提供污水处理站智慧化运营措施，建立污水站智慧管理平台，要求日常巡检电子化、设备故障报警、画面可视化、维修保养台账电子化、数据分析与优化、远程集中管控、检测报告信息化、自动生成日报月报等。同时自行提供相应数据化硬件包括路由器、智能网关、数据大屏、工控机、软件平台及各类传感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5" w:name="_Toc22825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四、其他要求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1.污水处理站正常运行情况下的水、电费由院方负责；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2.中标人应服从医院管理，需制定严格的工作制度、工作流程、管理制度及突发事件的应急预案；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3.中标人应严格遵守国家有关的法律、法规及行业标准，自行负责员工的所有工资、福利等；如发生工伤、疾病乃至死亡的一切责任及费用由中标人全权负责；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4.中标人在服务过程中由于疏忽、过失行为给医院或他人造成损失的，一切责任和费用由中标人承担；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5.中标人应确保污水站24h*365天，有人值守，不得超班次连续上班。如有数据异常应及时告知院方并查找原因，做出应急处理后向环保部门上报；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6.中标人需确保污水达标排放，由于运维责任落实不到位导致不达标所产生的行政处罚（含罚款）等由中标人承担；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YmVkMWJiZDhiOTg1YzFhMGMxNzEyNjIzYWMwYjgifQ=="/>
  </w:docVars>
  <w:rsids>
    <w:rsidRoot w:val="66F01BDA"/>
    <w:rsid w:val="66F0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一级标题"/>
    <w:basedOn w:val="1"/>
    <w:autoRedefine/>
    <w:qFormat/>
    <w:uiPriority w:val="0"/>
    <w:pPr>
      <w:snapToGrid w:val="0"/>
      <w:jc w:val="center"/>
    </w:pPr>
    <w:rPr>
      <w:rFonts w:eastAsia="宋体" w:cstheme="minorEastAsia"/>
      <w:b/>
      <w:sz w:val="28"/>
      <w:szCs w:val="24"/>
    </w:rPr>
  </w:style>
  <w:style w:type="paragraph" w:customStyle="1" w:styleId="6">
    <w:name w:val="二级标题"/>
    <w:basedOn w:val="1"/>
    <w:autoRedefine/>
    <w:qFormat/>
    <w:uiPriority w:val="0"/>
    <w:pPr>
      <w:autoSpaceDE w:val="0"/>
      <w:autoSpaceDN w:val="0"/>
      <w:ind w:firstLine="723"/>
    </w:pPr>
    <w:rPr>
      <w:rFonts w:eastAsia="宋体"/>
      <w:b/>
      <w:szCs w:val="30"/>
    </w:rPr>
  </w:style>
  <w:style w:type="paragraph" w:customStyle="1" w:styleId="7">
    <w:name w:val="正文_2"/>
    <w:basedOn w:val="8"/>
    <w:next w:val="20"/>
    <w:autoRedefine/>
    <w:qFormat/>
    <w:uiPriority w:val="0"/>
  </w:style>
  <w:style w:type="paragraph" w:customStyle="1" w:styleId="8">
    <w:name w:val="正文_3"/>
    <w:basedOn w:val="9"/>
    <w:autoRedefine/>
    <w:qFormat/>
    <w:uiPriority w:val="0"/>
    <w:rPr>
      <w:rFonts w:cs="宋体"/>
      <w:szCs w:val="21"/>
    </w:rPr>
  </w:style>
  <w:style w:type="paragraph" w:customStyle="1" w:styleId="9">
    <w:name w:val="正文_4"/>
    <w:basedOn w:val="10"/>
    <w:autoRedefine/>
    <w:qFormat/>
    <w:uiPriority w:val="0"/>
    <w:rPr>
      <w:rFonts w:ascii="Calibri" w:hAnsi="Calibri"/>
    </w:rPr>
  </w:style>
  <w:style w:type="paragraph" w:customStyle="1" w:styleId="10">
    <w:name w:val="正文_1_0"/>
    <w:basedOn w:val="11"/>
    <w:next w:val="12"/>
    <w:autoRedefine/>
    <w:qFormat/>
    <w:uiPriority w:val="0"/>
  </w:style>
  <w:style w:type="paragraph" w:customStyle="1" w:styleId="11">
    <w:name w:val="正文_1"/>
    <w:next w:val="1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纯文本_1"/>
    <w:basedOn w:val="13"/>
    <w:autoRedefine/>
    <w:unhideWhenUsed/>
    <w:qFormat/>
    <w:uiPriority w:val="99"/>
    <w:rPr>
      <w:rFonts w:ascii="宋体" w:hAnsi="Courier New"/>
      <w:bCs/>
    </w:rPr>
  </w:style>
  <w:style w:type="paragraph" w:customStyle="1" w:styleId="13">
    <w:name w:val="正文_1_0_0_0"/>
    <w:basedOn w:val="14"/>
    <w:next w:val="16"/>
    <w:autoRedefine/>
    <w:qFormat/>
    <w:uiPriority w:val="0"/>
    <w:rPr>
      <w:rFonts w:ascii="Times New Roman" w:hAnsi="Times New Roman" w:cs="Times New Roman"/>
      <w:kern w:val="0"/>
      <w:sz w:val="24"/>
      <w:szCs w:val="24"/>
    </w:rPr>
  </w:style>
  <w:style w:type="paragraph" w:customStyle="1" w:styleId="14">
    <w:name w:val="正文_5"/>
    <w:next w:val="1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标题 2_2_0"/>
    <w:basedOn w:val="14"/>
    <w:next w:val="14"/>
    <w:autoRedefine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16">
    <w:name w:val="Default_1_0"/>
    <w:basedOn w:val="11"/>
    <w:next w:val="17"/>
    <w:autoRedefine/>
    <w:qFormat/>
    <w:uiPriority w:val="0"/>
    <w:pPr>
      <w:autoSpaceDE w:val="0"/>
      <w:autoSpaceDN w:val="0"/>
      <w:adjustRightInd w:val="0"/>
      <w:jc w:val="left"/>
    </w:pPr>
    <w:rPr>
      <w:rFonts w:ascii="Calibri" w:hAnsi="Calibri"/>
      <w:color w:val="000000"/>
      <w:kern w:val="0"/>
      <w:sz w:val="24"/>
      <w:szCs w:val="24"/>
    </w:rPr>
  </w:style>
  <w:style w:type="paragraph" w:customStyle="1" w:styleId="17">
    <w:name w:val="大标题_1"/>
    <w:basedOn w:val="10"/>
    <w:next w:val="18"/>
    <w:autoRedefine/>
    <w:qFormat/>
    <w:uiPriority w:val="0"/>
    <w:pPr>
      <w:jc w:val="center"/>
    </w:pPr>
    <w:rPr>
      <w:rFonts w:ascii="Arial" w:hAnsi="Arial" w:eastAsia="宋体"/>
      <w:b/>
      <w:sz w:val="28"/>
      <w:szCs w:val="24"/>
    </w:rPr>
  </w:style>
  <w:style w:type="paragraph" w:customStyle="1" w:styleId="18">
    <w:name w:val="正文首行缩进 2_1"/>
    <w:basedOn w:val="19"/>
    <w:next w:val="10"/>
    <w:autoRedefine/>
    <w:qFormat/>
    <w:uiPriority w:val="0"/>
    <w:pPr>
      <w:spacing w:after="120" w:afterLines="0" w:line="240" w:lineRule="auto"/>
      <w:ind w:left="200" w:leftChars="200" w:firstLine="200" w:firstLineChars="200"/>
    </w:pPr>
  </w:style>
  <w:style w:type="paragraph" w:customStyle="1" w:styleId="19">
    <w:name w:val="正文文本缩进_1"/>
    <w:basedOn w:val="10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customStyle="1" w:styleId="20">
    <w:name w:val="标题 2_1"/>
    <w:basedOn w:val="21"/>
    <w:next w:val="7"/>
    <w:autoRedefine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21">
    <w:name w:val="正文_1_1"/>
    <w:basedOn w:val="22"/>
    <w:autoRedefine/>
    <w:qFormat/>
    <w:uiPriority w:val="0"/>
    <w:pPr>
      <w:widowControl w:val="0"/>
      <w:jc w:val="both"/>
    </w:pPr>
    <w:rPr>
      <w:lang w:val="en-US" w:eastAsia="zh-CN" w:bidi="ar-SA"/>
    </w:rPr>
  </w:style>
  <w:style w:type="paragraph" w:customStyle="1" w:styleId="22">
    <w:name w:val="正文_2_0"/>
    <w:next w:val="2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正文文本_1"/>
    <w:basedOn w:val="7"/>
    <w:next w:val="22"/>
    <w:autoRedefine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2026-01-17T03:30:00Z</dcterms:created>
  <dc:creator>hp</dc:creator>
  <cp:lastModifiedBy>hp</cp:lastModifiedBy>
  <dcterms:modified xsi:type="dcterms:W3CDTF">2026-01-17T03:30:59Z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3B13BD0F868E4B7894530BFC95F062B9_11</vt:lpwstr>
  </property>
</Properties>
</file>