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9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val="0"/>
        <w:snapToGrid/>
        <w:spacing w:line="590" w:lineRule="exact"/>
        <w:jc w:val="both"/>
        <w:textAlignment w:val="auto"/>
        <w:rPr>
          <w:rFonts w:hint="eastAsia" w:ascii="楷体_GB2312" w:hAnsi="楷体_GB2312" w:eastAsia="楷体_GB2312" w:cs="楷体_GB2312"/>
          <w:sz w:val="28"/>
          <w:szCs w:val="28"/>
          <w:lang w:val="en-US" w:eastAsia="zh-CN"/>
        </w:rPr>
      </w:pPr>
    </w:p>
    <w:p>
      <w:pPr>
        <w:ind w:firstLine="883"/>
        <w:jc w:val="center"/>
        <w:rPr>
          <w:rFonts w:hint="eastAsia" w:ascii="楷体_GB2312" w:hAnsi="楷体_GB2312" w:eastAsia="楷体_GB2312" w:cs="楷体_GB2312"/>
          <w:b/>
          <w:bCs/>
          <w:sz w:val="28"/>
          <w:szCs w:val="28"/>
        </w:rPr>
      </w:pPr>
    </w:p>
    <w:p>
      <w:pPr>
        <w:ind w:firstLine="883"/>
        <w:jc w:val="center"/>
        <w:rPr>
          <w:rFonts w:hint="eastAsia" w:ascii="楷体_GB2312" w:hAnsi="楷体_GB2312" w:eastAsia="楷体_GB2312" w:cs="楷体_GB2312"/>
          <w:b/>
          <w:bCs/>
          <w:sz w:val="28"/>
          <w:szCs w:val="28"/>
        </w:rPr>
      </w:pPr>
    </w:p>
    <w:p>
      <w:pPr>
        <w:ind w:firstLine="883"/>
        <w:jc w:val="center"/>
        <w:rPr>
          <w:rFonts w:hint="eastAsia" w:ascii="楷体_GB2312" w:hAnsi="楷体_GB2312" w:eastAsia="楷体_GB2312" w:cs="楷体_GB2312"/>
          <w:b/>
          <w:bCs/>
          <w:sz w:val="28"/>
          <w:szCs w:val="28"/>
        </w:rPr>
      </w:pPr>
    </w:p>
    <w:p>
      <w:pPr>
        <w:ind w:firstLine="883"/>
        <w:jc w:val="center"/>
        <w:rPr>
          <w:rFonts w:hint="eastAsia" w:ascii="楷体_GB2312" w:hAnsi="楷体_GB2312" w:eastAsia="楷体_GB2312" w:cs="楷体_GB2312"/>
          <w:b/>
          <w:bCs/>
          <w:sz w:val="28"/>
          <w:szCs w:val="28"/>
        </w:rPr>
      </w:pPr>
    </w:p>
    <w:p>
      <w:pPr>
        <w:ind w:firstLine="883"/>
        <w:jc w:val="center"/>
        <w:rPr>
          <w:rFonts w:hint="eastAsia" w:ascii="楷体_GB2312" w:hAnsi="楷体_GB2312" w:eastAsia="楷体_GB2312" w:cs="楷体_GB2312"/>
          <w:b/>
          <w:bCs/>
          <w:sz w:val="28"/>
          <w:szCs w:val="28"/>
        </w:rPr>
      </w:pPr>
    </w:p>
    <w:p>
      <w:pPr>
        <w:keepNext w:val="0"/>
        <w:keepLines w:val="0"/>
        <w:pageBreakBefore w:val="0"/>
        <w:widowControl w:val="0"/>
        <w:kinsoku/>
        <w:wordWrap/>
        <w:overflowPunct/>
        <w:topLinePunct w:val="0"/>
        <w:autoSpaceDE/>
        <w:autoSpaceDN/>
        <w:bidi w:val="0"/>
        <w:adjustRightInd/>
        <w:snapToGrid/>
        <w:spacing w:line="720" w:lineRule="exact"/>
        <w:ind w:firstLine="0"/>
        <w:jc w:val="center"/>
        <w:textAlignment w:val="auto"/>
        <w:rPr>
          <w:rFonts w:hint="eastAsia"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bCs/>
          <w:sz w:val="40"/>
          <w:szCs w:val="40"/>
        </w:rPr>
        <w:t>北京中医药大学东直门医院洛阳医院</w:t>
      </w:r>
    </w:p>
    <w:p>
      <w:pPr>
        <w:keepNext w:val="0"/>
        <w:keepLines w:val="0"/>
        <w:pageBreakBefore w:val="0"/>
        <w:widowControl w:val="0"/>
        <w:kinsoku/>
        <w:wordWrap/>
        <w:overflowPunct/>
        <w:topLinePunct w:val="0"/>
        <w:autoSpaceDE/>
        <w:autoSpaceDN/>
        <w:bidi w:val="0"/>
        <w:adjustRightInd/>
        <w:snapToGrid/>
        <w:spacing w:line="720" w:lineRule="exact"/>
        <w:ind w:firstLine="0"/>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bCs/>
          <w:sz w:val="40"/>
          <w:szCs w:val="40"/>
        </w:rPr>
        <w:t>医务人员外出进修协议书</w:t>
      </w:r>
    </w:p>
    <w:bookmarkEnd w:id="0"/>
    <w:p>
      <w:pPr>
        <w:ind w:firstLine="883"/>
        <w:jc w:val="center"/>
        <w:rPr>
          <w:rFonts w:hint="eastAsia" w:ascii="楷体_GB2312" w:hAnsi="楷体_GB2312" w:eastAsia="楷体_GB2312" w:cs="楷体_GB2312"/>
          <w:b/>
          <w:sz w:val="28"/>
          <w:szCs w:val="28"/>
        </w:rPr>
      </w:pPr>
    </w:p>
    <w:p>
      <w:pPr>
        <w:ind w:firstLine="883"/>
        <w:jc w:val="center"/>
        <w:rPr>
          <w:rFonts w:hint="eastAsia" w:ascii="楷体_GB2312" w:hAnsi="楷体_GB2312" w:eastAsia="楷体_GB2312" w:cs="楷体_GB2312"/>
          <w:b/>
          <w:sz w:val="28"/>
          <w:szCs w:val="28"/>
        </w:rPr>
      </w:pPr>
    </w:p>
    <w:p>
      <w:pPr>
        <w:ind w:firstLine="883"/>
        <w:jc w:val="center"/>
        <w:rPr>
          <w:rFonts w:hint="eastAsia" w:ascii="楷体_GB2312" w:hAnsi="楷体_GB2312" w:eastAsia="楷体_GB2312" w:cs="楷体_GB2312"/>
          <w:b/>
          <w:sz w:val="28"/>
          <w:szCs w:val="28"/>
        </w:rPr>
      </w:pPr>
    </w:p>
    <w:p>
      <w:pPr>
        <w:ind w:firstLine="883"/>
        <w:jc w:val="center"/>
        <w:rPr>
          <w:rFonts w:hint="eastAsia" w:ascii="楷体_GB2312" w:hAnsi="楷体_GB2312" w:eastAsia="楷体_GB2312" w:cs="楷体_GB2312"/>
          <w:b/>
          <w:sz w:val="28"/>
          <w:szCs w:val="28"/>
        </w:rPr>
      </w:pPr>
    </w:p>
    <w:p>
      <w:pPr>
        <w:ind w:firstLine="883"/>
        <w:jc w:val="center"/>
        <w:rPr>
          <w:rFonts w:hint="eastAsia" w:ascii="楷体_GB2312" w:hAnsi="楷体_GB2312" w:eastAsia="楷体_GB2312" w:cs="楷体_GB2312"/>
          <w:b/>
          <w:sz w:val="28"/>
          <w:szCs w:val="28"/>
        </w:rPr>
      </w:pPr>
    </w:p>
    <w:p>
      <w:pPr>
        <w:ind w:firstLine="883"/>
        <w:jc w:val="center"/>
        <w:rPr>
          <w:rFonts w:hint="eastAsia" w:ascii="楷体_GB2312" w:hAnsi="楷体_GB2312" w:eastAsia="楷体_GB2312" w:cs="楷体_GB2312"/>
          <w:b/>
          <w:sz w:val="28"/>
          <w:szCs w:val="28"/>
        </w:rPr>
      </w:pPr>
    </w:p>
    <w:p>
      <w:pPr>
        <w:keepNext w:val="0"/>
        <w:keepLines w:val="0"/>
        <w:pageBreakBefore w:val="0"/>
        <w:widowControl w:val="0"/>
        <w:tabs>
          <w:tab w:val="left" w:pos="1600"/>
        </w:tabs>
        <w:kinsoku/>
        <w:wordWrap/>
        <w:overflowPunct/>
        <w:topLinePunct w:val="0"/>
        <w:autoSpaceDE/>
        <w:autoSpaceDN/>
        <w:bidi w:val="0"/>
        <w:adjustRightInd/>
        <w:snapToGrid/>
        <w:spacing w:line="590" w:lineRule="exact"/>
        <w:ind w:left="1920" w:leftChars="600" w:firstLine="0" w:firstLineChars="0"/>
        <w:textAlignment w:val="auto"/>
        <w:rPr>
          <w:rFonts w:hint="eastAsia" w:ascii="楷体_GB2312" w:hAnsi="楷体_GB2312" w:eastAsia="楷体_GB2312" w:cs="楷体_GB2312"/>
          <w:color w:val="auto"/>
          <w:sz w:val="28"/>
          <w:szCs w:val="28"/>
          <w:u w:val="single"/>
          <w:lang w:val="en-US" w:eastAsia="zh-CN"/>
        </w:rPr>
      </w:pPr>
      <w:r>
        <w:rPr>
          <w:rFonts w:hint="eastAsia" w:ascii="楷体_GB2312" w:hAnsi="楷体_GB2312" w:eastAsia="楷体_GB2312" w:cs="楷体_GB2312"/>
          <w:color w:val="auto"/>
          <w:sz w:val="28"/>
          <w:szCs w:val="28"/>
        </w:rPr>
        <w:t>甲方：</w:t>
      </w:r>
      <w:r>
        <w:rPr>
          <w:rFonts w:hint="eastAsia" w:ascii="楷体_GB2312" w:hAnsi="楷体_GB2312" w:eastAsia="楷体_GB2312" w:cs="楷体_GB2312"/>
          <w:color w:val="auto"/>
          <w:sz w:val="28"/>
          <w:szCs w:val="28"/>
          <w:u w:val="single"/>
        </w:rPr>
        <w:t>北京中医药大学东直门医院洛阳医院</w:t>
      </w:r>
    </w:p>
    <w:p>
      <w:pPr>
        <w:keepNext w:val="0"/>
        <w:keepLines w:val="0"/>
        <w:pageBreakBefore w:val="0"/>
        <w:widowControl w:val="0"/>
        <w:tabs>
          <w:tab w:val="left" w:pos="1600"/>
        </w:tabs>
        <w:kinsoku/>
        <w:wordWrap/>
        <w:overflowPunct/>
        <w:topLinePunct w:val="0"/>
        <w:autoSpaceDE/>
        <w:autoSpaceDN/>
        <w:bidi w:val="0"/>
        <w:adjustRightInd/>
        <w:snapToGrid/>
        <w:spacing w:line="590" w:lineRule="exact"/>
        <w:ind w:left="1920" w:leftChars="600" w:firstLine="0" w:firstLineChars="0"/>
        <w:textAlignment w:val="auto"/>
        <w:rPr>
          <w:rFonts w:hint="eastAsia" w:ascii="楷体_GB2312" w:hAnsi="楷体_GB2312" w:eastAsia="楷体_GB2312" w:cs="楷体_GB2312"/>
          <w:color w:val="auto"/>
          <w:sz w:val="28"/>
          <w:szCs w:val="28"/>
          <w:u w:val="single"/>
        </w:rPr>
      </w:pPr>
      <w:r>
        <w:rPr>
          <w:rFonts w:hint="eastAsia" w:ascii="楷体_GB2312" w:hAnsi="楷体_GB2312" w:eastAsia="楷体_GB2312" w:cs="楷体_GB2312"/>
          <w:color w:val="auto"/>
          <w:sz w:val="28"/>
          <w:szCs w:val="28"/>
        </w:rPr>
        <w:t>乙方：</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楷体_GB2312" w:hAnsi="楷体_GB2312" w:eastAsia="楷体_GB2312" w:cs="楷体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lang w:val="en-US" w:eastAsia="zh-CN"/>
        </w:rPr>
        <w:t xml:space="preserve">        </w:t>
      </w:r>
      <w:r>
        <w:rPr>
          <w:rFonts w:hint="eastAsia" w:ascii="楷体_GB2312" w:hAnsi="楷体_GB2312" w:eastAsia="楷体_GB2312" w:cs="楷体_GB2312"/>
          <w:color w:val="auto"/>
          <w:sz w:val="28"/>
          <w:szCs w:val="28"/>
        </w:rPr>
        <w:t>年     月     日</w:t>
      </w:r>
    </w:p>
    <w:p>
      <w:pPr>
        <w:rPr>
          <w:rFonts w:hint="eastAsia" w:ascii="楷体_GB2312" w:hAnsi="楷体_GB2312" w:eastAsia="楷体_GB2312" w:cs="楷体_GB2312"/>
          <w:sz w:val="28"/>
          <w:szCs w:val="28"/>
        </w:rPr>
      </w:pPr>
    </w:p>
    <w:p>
      <w:pPr>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u w:val="single"/>
        </w:rPr>
      </w:pPr>
      <w:r>
        <w:rPr>
          <w:rFonts w:hint="eastAsia" w:ascii="楷体_GB2312" w:hAnsi="楷体_GB2312" w:eastAsia="楷体_GB2312" w:cs="楷体_GB2312"/>
          <w:color w:val="auto"/>
          <w:sz w:val="28"/>
          <w:szCs w:val="28"/>
        </w:rPr>
        <w:t>根据甲方业务发展需要，经乙方本人申请、科室选派、医院研究，同意</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科</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医师到</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医院进修</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90" w:lineRule="exact"/>
        <w:ind w:left="0" w:leftChars="0" w:right="0" w:firstLine="0" w:firstLineChars="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专业进行为期</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月的进修学习，起止时间</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年</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月</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日</w:t>
      </w:r>
    </w:p>
    <w:p>
      <w:pPr>
        <w:keepNext w:val="0"/>
        <w:keepLines w:val="0"/>
        <w:pageBreakBefore w:val="0"/>
        <w:widowControl w:val="0"/>
        <w:kinsoku/>
        <w:wordWrap/>
        <w:overflowPunct/>
        <w:topLinePunct w:val="0"/>
        <w:autoSpaceDE/>
        <w:autoSpaceDN/>
        <w:bidi w:val="0"/>
        <w:adjustRightInd/>
        <w:snapToGrid/>
        <w:spacing w:line="590" w:lineRule="exact"/>
        <w:ind w:left="0" w:leftChars="0" w:right="0" w:firstLine="0" w:firstLineChars="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至</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年</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月</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日。为保证进修人员的进修学习及医院工作的顺利开展，维护甲、乙双方合法权益，依照有关规定，双方自愿签订以下进修协议：</w:t>
      </w:r>
    </w:p>
    <w:p>
      <w:pPr>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一、乙方的进修方向及进修后拟开展的新业务</w:t>
      </w:r>
    </w:p>
    <w:p>
      <w:pPr>
        <w:keepNext w:val="0"/>
        <w:keepLines w:val="0"/>
        <w:pageBreakBefore w:val="0"/>
        <w:widowControl w:val="0"/>
        <w:kinsoku/>
        <w:wordWrap/>
        <w:overflowPunct/>
        <w:topLinePunct w:val="0"/>
        <w:autoSpaceDE/>
        <w:autoSpaceDN/>
        <w:bidi w:val="0"/>
        <w:adjustRightInd/>
        <w:snapToGrid/>
        <w:spacing w:line="590" w:lineRule="exact"/>
        <w:ind w:right="0" w:firstLine="0" w:firstLineChars="0"/>
        <w:textAlignment w:val="auto"/>
        <w:rPr>
          <w:rFonts w:hint="eastAsia" w:ascii="楷体_GB2312" w:hAnsi="楷体_GB2312" w:eastAsia="楷体_GB2312" w:cs="楷体_GB2312"/>
          <w:color w:val="auto"/>
          <w:sz w:val="28"/>
          <w:szCs w:val="28"/>
          <w:u w:val="single"/>
        </w:rPr>
      </w:pP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90" w:lineRule="exact"/>
        <w:ind w:right="0" w:firstLine="0" w:firstLineChars="0"/>
        <w:textAlignment w:val="auto"/>
        <w:rPr>
          <w:rFonts w:hint="eastAsia" w:ascii="楷体_GB2312" w:hAnsi="楷体_GB2312" w:eastAsia="楷体_GB2312" w:cs="楷体_GB2312"/>
          <w:color w:val="auto"/>
          <w:sz w:val="28"/>
          <w:szCs w:val="28"/>
          <w:u w:val="single"/>
        </w:rPr>
      </w:pPr>
      <w:r>
        <w:rPr>
          <w:rFonts w:hint="eastAsia" w:ascii="楷体_GB2312" w:hAnsi="楷体_GB2312" w:eastAsia="楷体_GB2312" w:cs="楷体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90" w:lineRule="exact"/>
        <w:ind w:right="0" w:firstLine="0" w:firstLineChars="0"/>
        <w:textAlignment w:val="auto"/>
        <w:rPr>
          <w:rFonts w:hint="eastAsia" w:ascii="楷体_GB2312" w:hAnsi="楷体_GB2312" w:eastAsia="楷体_GB2312" w:cs="楷体_GB2312"/>
          <w:color w:val="auto"/>
          <w:sz w:val="28"/>
          <w:szCs w:val="28"/>
          <w:u w:val="single"/>
        </w:rPr>
      </w:pP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90" w:lineRule="exact"/>
        <w:ind w:right="0" w:firstLine="0" w:firstLineChars="0"/>
        <w:textAlignment w:val="auto"/>
        <w:rPr>
          <w:rFonts w:hint="eastAsia" w:ascii="楷体_GB2312" w:hAnsi="楷体_GB2312" w:eastAsia="楷体_GB2312" w:cs="楷体_GB2312"/>
          <w:color w:val="auto"/>
          <w:sz w:val="28"/>
          <w:szCs w:val="28"/>
          <w:u w:val="single"/>
        </w:rPr>
      </w:pPr>
      <w:r>
        <w:rPr>
          <w:rFonts w:hint="eastAsia" w:ascii="楷体_GB2312" w:hAnsi="楷体_GB2312" w:eastAsia="楷体_GB2312" w:cs="楷体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90" w:lineRule="exact"/>
        <w:ind w:left="-2" w:leftChars="0" w:right="0" w:firstLine="0" w:firstLineChars="0"/>
        <w:textAlignment w:val="auto"/>
        <w:rPr>
          <w:rFonts w:hint="eastAsia" w:ascii="楷体_GB2312" w:hAnsi="楷体_GB2312" w:eastAsia="楷体_GB2312" w:cs="楷体_GB2312"/>
          <w:color w:val="auto"/>
          <w:sz w:val="28"/>
          <w:szCs w:val="28"/>
          <w:u w:val="single"/>
          <w:lang w:val="en-US" w:eastAsia="zh-CN"/>
        </w:rPr>
      </w:pP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left="0" w:leftChars="0" w:right="0" w:firstLine="641" w:firstLineChars="229"/>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二、乙方应根据医院研究确定的进修专业、方向和进修地点，按时、认真参加进修学习，每</w:t>
      </w:r>
      <w:r>
        <w:rPr>
          <w:rFonts w:hint="eastAsia" w:ascii="楷体_GB2312" w:hAnsi="楷体_GB2312" w:eastAsia="楷体_GB2312" w:cs="楷体_GB2312"/>
          <w:color w:val="auto"/>
          <w:sz w:val="28"/>
          <w:szCs w:val="28"/>
          <w:lang w:val="en-US" w:eastAsia="zh-CN"/>
        </w:rPr>
        <w:t>三个</w:t>
      </w:r>
      <w:r>
        <w:rPr>
          <w:rFonts w:hint="eastAsia" w:ascii="楷体_GB2312" w:hAnsi="楷体_GB2312" w:eastAsia="楷体_GB2312" w:cs="楷体_GB2312"/>
          <w:color w:val="auto"/>
          <w:sz w:val="28"/>
          <w:szCs w:val="28"/>
        </w:rPr>
        <w:t>月向医院主管科室联系汇报学习情况，促进提高进修人员学习效果。</w:t>
      </w:r>
    </w:p>
    <w:p>
      <w:pPr>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rPr>
        <w:t>三、乙方进修期间应遵守进修医院各项管理规定，维护医院声誉，对违规、违纪者医院将按照有关规定进行处理</w:t>
      </w:r>
      <w:r>
        <w:rPr>
          <w:rFonts w:hint="eastAsia" w:ascii="楷体_GB2312" w:hAnsi="楷体_GB2312" w:eastAsia="楷体_GB2312" w:cs="楷体_GB2312"/>
          <w:color w:val="auto"/>
          <w:sz w:val="28"/>
          <w:szCs w:val="28"/>
          <w:highlight w:val="none"/>
        </w:rPr>
        <w:t>。</w:t>
      </w:r>
      <w:r>
        <w:rPr>
          <w:rFonts w:hint="eastAsia" w:ascii="楷体_GB2312" w:hAnsi="楷体_GB2312" w:eastAsia="楷体_GB2312" w:cs="楷体_GB2312"/>
          <w:color w:val="auto"/>
          <w:sz w:val="28"/>
          <w:szCs w:val="28"/>
          <w:highlight w:val="none"/>
          <w:lang w:val="en-US" w:eastAsia="zh-CN"/>
        </w:rPr>
        <w:t>进修期间如需请假，除在进修单位履行请销假手续外，还须向本院履行请销假手续，并报医务科、绩效办备案。</w:t>
      </w:r>
    </w:p>
    <w:p>
      <w:pPr>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四、进修结束后，乙方应按时返回医院上班，</w:t>
      </w:r>
      <w:r>
        <w:rPr>
          <w:rFonts w:hint="eastAsia" w:ascii="楷体_GB2312" w:hAnsi="楷体_GB2312" w:eastAsia="楷体_GB2312" w:cs="楷体_GB2312"/>
          <w:color w:val="auto"/>
          <w:sz w:val="28"/>
          <w:szCs w:val="28"/>
          <w:lang w:val="en-US" w:eastAsia="zh-CN"/>
        </w:rPr>
        <w:t>15日内</w:t>
      </w:r>
      <w:r>
        <w:rPr>
          <w:rFonts w:hint="eastAsia" w:ascii="楷体_GB2312" w:hAnsi="楷体_GB2312" w:eastAsia="楷体_GB2312" w:cs="楷体_GB2312"/>
          <w:color w:val="auto"/>
          <w:sz w:val="28"/>
          <w:szCs w:val="28"/>
        </w:rPr>
        <w:t>向</w:t>
      </w:r>
      <w:r>
        <w:rPr>
          <w:rFonts w:hint="eastAsia" w:ascii="楷体_GB2312" w:hAnsi="楷体_GB2312" w:eastAsia="楷体_GB2312" w:cs="楷体_GB2312"/>
          <w:color w:val="auto"/>
          <w:sz w:val="28"/>
          <w:szCs w:val="28"/>
          <w:lang w:val="en-US" w:eastAsia="zh-CN"/>
        </w:rPr>
        <w:t>医务科</w:t>
      </w:r>
      <w:r>
        <w:rPr>
          <w:rFonts w:hint="eastAsia" w:ascii="楷体_GB2312" w:hAnsi="楷体_GB2312" w:eastAsia="楷体_GB2312" w:cs="楷体_GB2312"/>
          <w:color w:val="auto"/>
          <w:sz w:val="28"/>
          <w:szCs w:val="28"/>
        </w:rPr>
        <w:t>、人事科提交进修鉴定表、进修总结及有关材料</w:t>
      </w:r>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lang w:val="en-US" w:eastAsia="zh-CN"/>
        </w:rPr>
        <w:t>并向绩效办报备</w:t>
      </w:r>
      <w:r>
        <w:rPr>
          <w:rFonts w:hint="eastAsia" w:ascii="楷体_GB2312" w:hAnsi="楷体_GB2312" w:eastAsia="楷体_GB2312" w:cs="楷体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五、进修结束后，乙方应在一定范围内汇报、展示进修学习成果，并由</w:t>
      </w:r>
      <w:r>
        <w:rPr>
          <w:rFonts w:hint="eastAsia" w:ascii="楷体_GB2312" w:hAnsi="楷体_GB2312" w:eastAsia="楷体_GB2312" w:cs="楷体_GB2312"/>
          <w:color w:val="auto"/>
          <w:sz w:val="28"/>
          <w:szCs w:val="28"/>
          <w:lang w:val="en-US" w:eastAsia="zh-CN"/>
        </w:rPr>
        <w:t>专家</w:t>
      </w:r>
      <w:r>
        <w:rPr>
          <w:rFonts w:hint="eastAsia" w:ascii="楷体_GB2312" w:hAnsi="楷体_GB2312" w:eastAsia="楷体_GB2312" w:cs="楷体_GB2312"/>
          <w:color w:val="auto"/>
          <w:sz w:val="28"/>
          <w:szCs w:val="28"/>
          <w:lang w:eastAsia="zh-CN"/>
        </w:rPr>
        <w:t>考核</w:t>
      </w:r>
      <w:r>
        <w:rPr>
          <w:rFonts w:hint="eastAsia" w:ascii="楷体_GB2312" w:hAnsi="楷体_GB2312" w:eastAsia="楷体_GB2312" w:cs="楷体_GB2312"/>
          <w:color w:val="auto"/>
          <w:sz w:val="28"/>
          <w:szCs w:val="28"/>
        </w:rPr>
        <w:t>，经</w:t>
      </w:r>
      <w:r>
        <w:rPr>
          <w:rFonts w:hint="eastAsia" w:ascii="楷体_GB2312" w:hAnsi="楷体_GB2312" w:eastAsia="楷体_GB2312" w:cs="楷体_GB2312"/>
          <w:color w:val="auto"/>
          <w:sz w:val="28"/>
          <w:szCs w:val="28"/>
          <w:lang w:eastAsia="zh-CN"/>
        </w:rPr>
        <w:t>考核</w:t>
      </w:r>
      <w:r>
        <w:rPr>
          <w:rFonts w:hint="eastAsia" w:ascii="楷体_GB2312" w:hAnsi="楷体_GB2312" w:eastAsia="楷体_GB2312" w:cs="楷体_GB2312"/>
          <w:color w:val="auto"/>
          <w:sz w:val="28"/>
          <w:szCs w:val="28"/>
        </w:rPr>
        <w:t>达到进修预期效果的，甲方按规定报销进修学习的有关费用。对未能完成进修学习任务者，一切费用由乙方个人承担。</w:t>
      </w:r>
    </w:p>
    <w:p>
      <w:pPr>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六、甲方派出进修学习6个月（含）者应在进修结束后在甲方服务满5年，6个月以上（不含）者应在进修结束后在甲方服务满8年。否则乙方在离职时除应向甲方返还进修培训费用、交通费、住宿费及培训进修期间的全部工资、各项保险费用外，还应向医院支付与返还数额等同的违约金。</w:t>
      </w:r>
    </w:p>
    <w:p>
      <w:pPr>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七、在约定服务期内，乙方提出终止合同的，自终止劳动合同后二年内乙方不得在我国境内从事所进修专业的医疗技术工作，否则乙方应向甲方支付竞业限制违约金拾万元整。若医院提出中止或解除劳动合同的，按上级有关规定办理。在竞业限制期应按洛阳市最低工资标准支付乙方经济补偿。</w:t>
      </w:r>
    </w:p>
    <w:p>
      <w:pPr>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八、在约定服务期内，甲方将冻结乙方执业注册变更手续。</w:t>
      </w:r>
    </w:p>
    <w:p>
      <w:pPr>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rPr>
        <w:t>九、</w:t>
      </w:r>
      <w:r>
        <w:rPr>
          <w:rFonts w:hint="eastAsia" w:ascii="楷体_GB2312" w:hAnsi="楷体_GB2312" w:eastAsia="楷体_GB2312" w:cs="楷体_GB2312"/>
          <w:color w:val="auto"/>
          <w:sz w:val="28"/>
          <w:szCs w:val="28"/>
          <w:lang w:val="en-US" w:eastAsia="zh-CN"/>
        </w:rPr>
        <w:t>乙方的进修学费、住宿费（不包含本市住宿费）及进修期间的一次往返路费乙方垫付，待乙方进修完毕经医院考核专家小组考核后按流程予以报销。进修学习期间，医院按规定保证进修人员的工资福利待遇。</w:t>
      </w:r>
    </w:p>
    <w:p>
      <w:pPr>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十、以上内容为双方真实意愿之表达，本协议双方自愿签订，双方应严格遵守。在履行期间产生纠纷应协商解决，协商解决不成由甲方所在地法院诉讼解决。</w:t>
      </w:r>
    </w:p>
    <w:p>
      <w:pPr>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本协议一式五份，医院医务科、人事科、业务主管科室、临床科室及本人各持一份，自双方签字或盖章之日起生效。</w:t>
      </w:r>
    </w:p>
    <w:p>
      <w:pPr>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十一、《北京中医药大学东直门医院洛阳医院关于修订医务人员外出进修有关规定的通知》是本协议不可分割的一部分，乙方已充分了解并自愿遵守医院对医务人员外出进修的规定，本协议未约定事宜以该规定为准，乙方违反该规定即视为违约，应按照本协议和该规定承担违约责任。</w:t>
      </w:r>
    </w:p>
    <w:p>
      <w:pPr>
        <w:pStyle w:val="2"/>
        <w:keepNext w:val="0"/>
        <w:keepLines w:val="0"/>
        <w:pageBreakBefore w:val="0"/>
        <w:widowControl w:val="0"/>
        <w:kinsoku/>
        <w:wordWrap/>
        <w:overflowPunct/>
        <w:topLinePunct w:val="0"/>
        <w:autoSpaceDE/>
        <w:autoSpaceDN/>
        <w:bidi w:val="0"/>
        <w:adjustRightInd/>
        <w:snapToGrid/>
        <w:spacing w:line="590" w:lineRule="exact"/>
        <w:ind w:right="0" w:firstLine="560" w:firstLineChars="200"/>
        <w:textAlignment w:val="auto"/>
        <w:rPr>
          <w:rFonts w:hint="eastAsia" w:ascii="楷体_GB2312" w:hAnsi="楷体_GB2312" w:eastAsia="楷体_GB2312" w:cs="楷体_GB2312"/>
          <w:color w:val="auto"/>
          <w:sz w:val="28"/>
          <w:szCs w:val="28"/>
        </w:rPr>
      </w:pPr>
    </w:p>
    <w:p>
      <w:pPr>
        <w:pStyle w:val="3"/>
        <w:keepNext w:val="0"/>
        <w:keepLines w:val="0"/>
        <w:pageBreakBefore w:val="0"/>
        <w:widowControl w:val="0"/>
        <w:kinsoku/>
        <w:wordWrap/>
        <w:overflowPunct/>
        <w:topLinePunct w:val="0"/>
        <w:autoSpaceDE/>
        <w:autoSpaceDN/>
        <w:bidi w:val="0"/>
        <w:adjustRightInd/>
        <w:snapToGrid/>
        <w:spacing w:line="590" w:lineRule="exact"/>
        <w:ind w:right="0" w:firstLine="560" w:firstLineChars="200"/>
        <w:jc w:val="both"/>
        <w:textAlignment w:val="auto"/>
        <w:rPr>
          <w:rFonts w:hint="eastAsia" w:ascii="楷体_GB2312" w:hAnsi="楷体_GB2312" w:eastAsia="楷体_GB2312" w:cs="楷体_GB2312"/>
          <w:color w:val="auto"/>
          <w:sz w:val="28"/>
          <w:szCs w:val="28"/>
        </w:rPr>
      </w:pPr>
    </w:p>
    <w:p>
      <w:pPr>
        <w:pStyle w:val="3"/>
        <w:keepNext w:val="0"/>
        <w:keepLines w:val="0"/>
        <w:pageBreakBefore w:val="0"/>
        <w:widowControl w:val="0"/>
        <w:kinsoku/>
        <w:wordWrap/>
        <w:overflowPunct/>
        <w:topLinePunct w:val="0"/>
        <w:autoSpaceDE/>
        <w:autoSpaceDN/>
        <w:bidi w:val="0"/>
        <w:adjustRightInd/>
        <w:snapToGrid/>
        <w:spacing w:line="590" w:lineRule="exact"/>
        <w:ind w:right="0" w:firstLine="560" w:firstLineChars="200"/>
        <w:jc w:val="both"/>
        <w:textAlignment w:val="auto"/>
        <w:rPr>
          <w:rFonts w:hint="eastAsia" w:ascii="楷体_GB2312" w:hAnsi="楷体_GB2312" w:eastAsia="楷体_GB2312" w:cs="楷体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90" w:lineRule="exact"/>
        <w:ind w:right="0" w:firstLine="0" w:firstLineChars="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xml:space="preserve">甲方签字（盖章）：        </w:t>
      </w:r>
      <w:r>
        <w:rPr>
          <w:rFonts w:hint="eastAsia" w:ascii="楷体_GB2312" w:hAnsi="楷体_GB2312" w:eastAsia="楷体_GB2312" w:cs="楷体_GB2312"/>
          <w:color w:val="auto"/>
          <w:sz w:val="28"/>
          <w:szCs w:val="28"/>
          <w:lang w:val="en-US" w:eastAsia="zh-CN"/>
        </w:rPr>
        <w:t xml:space="preserve">            </w:t>
      </w:r>
      <w:r>
        <w:rPr>
          <w:rFonts w:hint="eastAsia" w:ascii="楷体_GB2312" w:hAnsi="楷体_GB2312" w:eastAsia="楷体_GB2312" w:cs="楷体_GB2312"/>
          <w:color w:val="auto"/>
          <w:sz w:val="28"/>
          <w:szCs w:val="28"/>
        </w:rPr>
        <w:t xml:space="preserve"> </w:t>
      </w:r>
      <w:r>
        <w:rPr>
          <w:rFonts w:hint="eastAsia" w:ascii="楷体_GB2312" w:hAnsi="楷体_GB2312" w:eastAsia="楷体_GB2312" w:cs="楷体_GB2312"/>
          <w:color w:val="auto"/>
          <w:sz w:val="28"/>
          <w:szCs w:val="28"/>
          <w:lang w:val="en-US" w:eastAsia="zh-CN"/>
        </w:rPr>
        <w:t xml:space="preserve"> </w:t>
      </w:r>
      <w:r>
        <w:rPr>
          <w:rFonts w:hint="eastAsia" w:ascii="楷体_GB2312" w:hAnsi="楷体_GB2312" w:eastAsia="楷体_GB2312" w:cs="楷体_GB2312"/>
          <w:color w:val="auto"/>
          <w:sz w:val="28"/>
          <w:szCs w:val="28"/>
        </w:rPr>
        <w:t xml:space="preserve">   乙方签字：</w:t>
      </w:r>
    </w:p>
    <w:p>
      <w:pPr>
        <w:keepNext w:val="0"/>
        <w:keepLines w:val="0"/>
        <w:pageBreakBefore w:val="0"/>
        <w:widowControl w:val="0"/>
        <w:kinsoku/>
        <w:wordWrap/>
        <w:overflowPunct/>
        <w:topLinePunct w:val="0"/>
        <w:autoSpaceDE/>
        <w:autoSpaceDN/>
        <w:bidi w:val="0"/>
        <w:adjustRightInd/>
        <w:snapToGrid/>
        <w:spacing w:line="590" w:lineRule="exact"/>
        <w:ind w:right="0" w:firstLine="840" w:firstLineChars="300"/>
        <w:textAlignment w:val="auto"/>
        <w:rPr>
          <w:rFonts w:hint="eastAsia" w:ascii="楷体_GB2312" w:hAnsi="楷体_GB2312" w:eastAsia="楷体_GB2312" w:cs="楷体_GB2312"/>
          <w:sz w:val="28"/>
          <w:szCs w:val="28"/>
        </w:rPr>
      </w:pPr>
      <w:r>
        <w:rPr>
          <w:rFonts w:hint="eastAsia" w:ascii="楷体_GB2312" w:hAnsi="楷体_GB2312" w:eastAsia="楷体_GB2312" w:cs="楷体_GB2312"/>
          <w:color w:val="auto"/>
          <w:sz w:val="28"/>
          <w:szCs w:val="28"/>
        </w:rPr>
        <w:t xml:space="preserve">年   月   日            </w:t>
      </w:r>
      <w:r>
        <w:rPr>
          <w:rFonts w:hint="eastAsia" w:ascii="楷体_GB2312" w:hAnsi="楷体_GB2312" w:eastAsia="楷体_GB2312" w:cs="楷体_GB2312"/>
          <w:color w:val="auto"/>
          <w:sz w:val="28"/>
          <w:szCs w:val="28"/>
          <w:lang w:val="en-US" w:eastAsia="zh-CN"/>
        </w:rPr>
        <w:t xml:space="preserve">             </w:t>
      </w:r>
      <w:r>
        <w:rPr>
          <w:rFonts w:hint="eastAsia" w:ascii="楷体_GB2312" w:hAnsi="楷体_GB2312" w:eastAsia="楷体_GB2312" w:cs="楷体_GB2312"/>
          <w:color w:val="auto"/>
          <w:sz w:val="28"/>
          <w:szCs w:val="28"/>
        </w:rPr>
        <w:t xml:space="preserve">     年   月   日</w:t>
      </w:r>
    </w:p>
    <w:p/>
    <w:sectPr>
      <w:pgSz w:w="11906" w:h="16838"/>
      <w:pgMar w:top="1984" w:right="1519" w:bottom="1871"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964DB"/>
    <w:rsid w:val="71E96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Times New Roman" w:cs="Times New Roman"/>
      <w:sz w:val="44"/>
      <w:szCs w:val="24"/>
    </w:rPr>
  </w:style>
  <w:style w:type="paragraph" w:styleId="3">
    <w:name w:val="Body Text 2"/>
    <w:basedOn w:val="1"/>
    <w:qFormat/>
    <w:uiPriority w:val="0"/>
    <w:pPr>
      <w:jc w:val="center"/>
      <w:outlineLvl w:val="0"/>
    </w:pPr>
    <w:rPr>
      <w:rFonts w:ascii="楷体_GB2312" w:eastAsia="仿宋_GB2312"/>
      <w:kern w:val="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2026-02-28T07:13:00Z</dcterms:created>
  <dc:creator>Administrator</dc:creator>
  <cp:lastModifiedBy>Administrator</cp:lastModifiedBy>
  <dcterms:modified xsi:type="dcterms:W3CDTF">2026-02-28T07:14:00Z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